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03BD6" w:rsidRDefault="00110A4A" w:rsidP="009F795F">
      <w:pPr>
        <w:jc w:val="center"/>
        <w:rPr>
          <w:b/>
          <w:szCs w:val="24"/>
        </w:rPr>
      </w:pPr>
      <w:r>
        <w:rPr>
          <w:b/>
          <w:szCs w:val="24"/>
        </w:rPr>
        <w:t>П</w:t>
      </w:r>
      <w:r w:rsidR="009F795F" w:rsidRPr="00903BD6">
        <w:rPr>
          <w:b/>
          <w:szCs w:val="24"/>
        </w:rPr>
        <w:t>ояснительн</w:t>
      </w:r>
      <w:r>
        <w:rPr>
          <w:b/>
          <w:szCs w:val="24"/>
        </w:rPr>
        <w:t>ая</w:t>
      </w:r>
      <w:r w:rsidR="009F795F" w:rsidRPr="00903BD6">
        <w:rPr>
          <w:b/>
          <w:szCs w:val="24"/>
        </w:rPr>
        <w:t xml:space="preserve"> записки </w:t>
      </w:r>
    </w:p>
    <w:p w:rsidR="00110A4A" w:rsidRPr="00110A4A" w:rsidRDefault="00110A4A" w:rsidP="00110A4A">
      <w:pPr>
        <w:ind w:right="-285" w:firstLine="680"/>
        <w:jc w:val="center"/>
      </w:pPr>
      <w:r w:rsidRPr="00110A4A">
        <w:rPr>
          <w:rFonts w:eastAsia="Calibri"/>
          <w:bCs/>
          <w:lang w:eastAsia="en-US"/>
        </w:rPr>
        <w:t xml:space="preserve">к проекту постановления администрации района </w:t>
      </w:r>
      <w:r w:rsidRPr="00110A4A">
        <w:rPr>
          <w:rFonts w:eastAsia="Calibri"/>
          <w:lang w:eastAsia="en-US"/>
        </w:rPr>
        <w:t>«</w:t>
      </w:r>
      <w:r w:rsidRPr="00110A4A">
        <w:t>О внесении изменения в приложение к постановлению администрации района от 25.11.2021 № 2086 «Об утверждении муниципальной программы «Развитие физической культуры и спорта в Нижневартовском районе»</w:t>
      </w:r>
    </w:p>
    <w:p w:rsidR="009F795F" w:rsidRPr="009F795F" w:rsidRDefault="009F795F" w:rsidP="009F795F">
      <w:pPr>
        <w:autoSpaceDE w:val="0"/>
        <w:autoSpaceDN w:val="0"/>
        <w:ind w:firstLine="708"/>
        <w:jc w:val="both"/>
        <w:rPr>
          <w:sz w:val="24"/>
          <w:szCs w:val="24"/>
        </w:rPr>
      </w:pPr>
    </w:p>
    <w:p w:rsidR="000F4ABB" w:rsidRPr="000F4ABB" w:rsidRDefault="000F4ABB" w:rsidP="000F4ABB">
      <w:pPr>
        <w:autoSpaceDE w:val="0"/>
        <w:autoSpaceDN w:val="0"/>
        <w:adjustRightInd w:val="0"/>
        <w:ind w:firstLine="708"/>
        <w:jc w:val="both"/>
        <w:rPr>
          <w:bCs/>
          <w:sz w:val="24"/>
          <w:szCs w:val="24"/>
        </w:rPr>
      </w:pPr>
      <w:r w:rsidRPr="000F4ABB">
        <w:rPr>
          <w:bCs/>
          <w:sz w:val="24"/>
          <w:szCs w:val="24"/>
        </w:rPr>
        <w:t>Проект решения Думы Нижневартовского района разработан в соответствии с соответствии со статьей 3 Федерального закона от 31.07.2020 № 248-ФЗ «О государственном контроле (надзоре) и муниципальном контроле в Российской Федерации», пунктом 5 части 1 статьи 15 Федерального закона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F4ABB">
        <w:rPr>
          <w:bCs/>
          <w:i/>
          <w:sz w:val="24"/>
          <w:szCs w:val="24"/>
        </w:rPr>
        <w:t xml:space="preserve">, </w:t>
      </w:r>
      <w:r w:rsidRPr="000F4ABB">
        <w:rPr>
          <w:bCs/>
          <w:sz w:val="24"/>
          <w:szCs w:val="24"/>
        </w:rPr>
        <w:t xml:space="preserve"> руководствуясь Уставом Нижневартовского района.</w:t>
      </w:r>
    </w:p>
    <w:p w:rsidR="009F795F" w:rsidRPr="009F795F" w:rsidRDefault="009F795F" w:rsidP="0065587C">
      <w:pPr>
        <w:autoSpaceDE w:val="0"/>
        <w:autoSpaceDN w:val="0"/>
        <w:adjustRightInd w:val="0"/>
        <w:ind w:firstLine="708"/>
        <w:jc w:val="both"/>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110A4A" w:rsidRDefault="00110A4A" w:rsidP="009F795F">
      <w:pPr>
        <w:widowControl w:val="0"/>
        <w:autoSpaceDE w:val="0"/>
        <w:autoSpaceDN w:val="0"/>
        <w:adjustRightInd w:val="0"/>
        <w:ind w:firstLine="709"/>
        <w:jc w:val="both"/>
        <w:rPr>
          <w:sz w:val="24"/>
          <w:szCs w:val="24"/>
        </w:rPr>
      </w:pPr>
    </w:p>
    <w:p w:rsidR="000F4ABB" w:rsidRPr="000F4ABB" w:rsidRDefault="000F4ABB" w:rsidP="000F4ABB">
      <w:pPr>
        <w:ind w:firstLine="709"/>
        <w:jc w:val="both"/>
        <w:rPr>
          <w:bCs/>
          <w:sz w:val="24"/>
          <w:szCs w:val="24"/>
        </w:rPr>
      </w:pPr>
      <w:r>
        <w:rPr>
          <w:bCs/>
          <w:sz w:val="24"/>
          <w:szCs w:val="24"/>
          <w:lang w:val="en-US"/>
        </w:rPr>
        <w:t>C</w:t>
      </w:r>
      <w:proofErr w:type="spellStart"/>
      <w:r w:rsidRPr="000F4ABB">
        <w:rPr>
          <w:bCs/>
          <w:sz w:val="24"/>
          <w:szCs w:val="24"/>
        </w:rPr>
        <w:t>облюдение</w:t>
      </w:r>
      <w:proofErr w:type="spellEnd"/>
      <w:r w:rsidRPr="000F4ABB">
        <w:rPr>
          <w:bCs/>
          <w:sz w:val="24"/>
          <w:szCs w:val="24"/>
        </w:rPr>
        <w:t xml:space="preserve"> контролируемыми лицами обязательных требований в области автомобильных дорог и дорожной деятельности, установленных в отношении автомобильных дорог местного значения расположенных вне границ населенных пунктов в границах Нижневартовского района, установленных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принимаемыми в соответствии с ними нормативными правовыми актами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795F" w:rsidRPr="009F795F" w:rsidRDefault="000F4ABB" w:rsidP="000F4ABB">
      <w:pPr>
        <w:pBdr>
          <w:top w:val="single" w:sz="4" w:space="1" w:color="auto"/>
        </w:pBdr>
        <w:autoSpaceDE w:val="0"/>
        <w:autoSpaceDN w:val="0"/>
        <w:spacing w:after="24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 xml:space="preserve">Описание </w:t>
      </w:r>
      <w:r w:rsidRPr="00EB24DE">
        <w:rPr>
          <w:sz w:val="24"/>
          <w:szCs w:val="24"/>
        </w:rPr>
        <w:t xml:space="preserve">субъектов </w:t>
      </w:r>
      <w:r w:rsidR="009C556E" w:rsidRPr="00EB24DE">
        <w:rPr>
          <w:sz w:val="24"/>
          <w:szCs w:val="24"/>
        </w:rPr>
        <w:t xml:space="preserve">предпринимательской, инвестиционной и иной экономической </w:t>
      </w:r>
      <w:r w:rsidRPr="00EB24DE">
        <w:rPr>
          <w:sz w:val="24"/>
          <w:szCs w:val="24"/>
        </w:rPr>
        <w:t>деятельности, интересы которых будут затронуты предлагаемым правовым регулированием:</w:t>
      </w:r>
    </w:p>
    <w:p w:rsidR="000F4ABB" w:rsidRDefault="000F4ABB" w:rsidP="009F795F">
      <w:pPr>
        <w:widowControl w:val="0"/>
        <w:autoSpaceDE w:val="0"/>
        <w:autoSpaceDN w:val="0"/>
        <w:adjustRightInd w:val="0"/>
        <w:ind w:firstLine="709"/>
        <w:jc w:val="both"/>
        <w:rPr>
          <w:sz w:val="24"/>
          <w:szCs w:val="24"/>
        </w:rPr>
      </w:pPr>
    </w:p>
    <w:p w:rsidR="000F4ABB" w:rsidRPr="000F4ABB" w:rsidRDefault="000F4ABB" w:rsidP="000F4ABB">
      <w:pPr>
        <w:ind w:firstLine="709"/>
        <w:jc w:val="both"/>
        <w:rPr>
          <w:bCs/>
          <w:sz w:val="24"/>
          <w:szCs w:val="24"/>
        </w:rPr>
      </w:pPr>
      <w:r w:rsidRPr="000F4ABB">
        <w:rPr>
          <w:sz w:val="24"/>
          <w:szCs w:val="24"/>
        </w:rPr>
        <w:t>Правовое регулирование затрагивает интересы юридических лиц, их руководителей и иных должностных лиц, индивидуальных предпринимателей и их уполномоченных представителей, физических лиц осуществляющих дорожную деятельность, деятельность в области использования автомобильных дорог местного значения расположенных вне границ населенных пунктов в границах Нижневартовского района.</w:t>
      </w:r>
    </w:p>
    <w:p w:rsidR="009F795F" w:rsidRPr="00EB24DE" w:rsidRDefault="000F4ABB" w:rsidP="000F4ABB">
      <w:pPr>
        <w:pBdr>
          <w:top w:val="single" w:sz="4" w:space="1" w:color="auto"/>
        </w:pBdr>
        <w:autoSpaceDE w:val="0"/>
        <w:autoSpaceDN w:val="0"/>
        <w:spacing w:after="240"/>
        <w:jc w:val="center"/>
        <w:rPr>
          <w:sz w:val="20"/>
          <w:szCs w:val="20"/>
        </w:rPr>
      </w:pPr>
      <w:r w:rsidRPr="00EB24DE">
        <w:rPr>
          <w:sz w:val="20"/>
          <w:szCs w:val="20"/>
        </w:rPr>
        <w:t xml:space="preserve"> </w:t>
      </w:r>
      <w:r w:rsidR="009F795F" w:rsidRPr="00EB24DE">
        <w:rPr>
          <w:sz w:val="20"/>
          <w:szCs w:val="20"/>
        </w:rPr>
        <w:t>(место для текстового описания)</w:t>
      </w:r>
    </w:p>
    <w:p w:rsidR="009F795F" w:rsidRPr="00EB24DE" w:rsidRDefault="009F795F" w:rsidP="009F795F">
      <w:pPr>
        <w:widowControl w:val="0"/>
        <w:autoSpaceDE w:val="0"/>
        <w:autoSpaceDN w:val="0"/>
        <w:adjustRightInd w:val="0"/>
        <w:ind w:firstLine="709"/>
        <w:jc w:val="both"/>
        <w:rPr>
          <w:sz w:val="24"/>
          <w:szCs w:val="24"/>
        </w:rPr>
      </w:pPr>
    </w:p>
    <w:p w:rsidR="009F795F" w:rsidRPr="00EB24DE" w:rsidRDefault="009F795F" w:rsidP="009F795F">
      <w:pPr>
        <w:widowControl w:val="0"/>
        <w:autoSpaceDE w:val="0"/>
        <w:autoSpaceDN w:val="0"/>
        <w:adjustRightInd w:val="0"/>
        <w:ind w:firstLine="709"/>
        <w:jc w:val="both"/>
        <w:rPr>
          <w:bCs/>
          <w:sz w:val="24"/>
          <w:szCs w:val="24"/>
        </w:rPr>
      </w:pPr>
      <w:r w:rsidRPr="00EB24DE">
        <w:rPr>
          <w:sz w:val="24"/>
          <w:szCs w:val="24"/>
        </w:rPr>
        <w:t> Описание обязанностей, запретов и ограничений, которые предполагается возложить (ввести) на (для) субъекты (</w:t>
      </w:r>
      <w:proofErr w:type="spellStart"/>
      <w:r w:rsidRPr="00EB24DE">
        <w:rPr>
          <w:sz w:val="24"/>
          <w:szCs w:val="24"/>
        </w:rPr>
        <w:t>ов</w:t>
      </w:r>
      <w:proofErr w:type="spellEnd"/>
      <w:r w:rsidRPr="00EB24DE">
        <w:rPr>
          <w:sz w:val="24"/>
          <w:szCs w:val="24"/>
        </w:rPr>
        <w:t xml:space="preserve">)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9F795F" w:rsidRPr="00EB24DE" w:rsidRDefault="00110A4A" w:rsidP="00110A4A">
      <w:pPr>
        <w:autoSpaceDE w:val="0"/>
        <w:autoSpaceDN w:val="0"/>
        <w:jc w:val="center"/>
        <w:rPr>
          <w:sz w:val="24"/>
          <w:szCs w:val="24"/>
        </w:rPr>
      </w:pPr>
      <w:r>
        <w:rPr>
          <w:sz w:val="24"/>
          <w:szCs w:val="24"/>
        </w:rPr>
        <w:t>Отсутствуют</w:t>
      </w:r>
    </w:p>
    <w:p w:rsidR="009F795F" w:rsidRPr="00EB24DE" w:rsidRDefault="009F795F" w:rsidP="009F795F">
      <w:pPr>
        <w:pBdr>
          <w:top w:val="single" w:sz="4" w:space="1" w:color="auto"/>
        </w:pBdr>
        <w:autoSpaceDE w:val="0"/>
        <w:autoSpaceDN w:val="0"/>
        <w:jc w:val="center"/>
        <w:rPr>
          <w:sz w:val="20"/>
          <w:szCs w:val="20"/>
        </w:rPr>
      </w:pPr>
      <w:r w:rsidRPr="00EB24DE">
        <w:rPr>
          <w:sz w:val="20"/>
          <w:szCs w:val="20"/>
        </w:rPr>
        <w:lastRenderedPageBreak/>
        <w:t>(место для текстового описания)</w:t>
      </w:r>
    </w:p>
    <w:p w:rsidR="009F795F" w:rsidRPr="00EB24DE" w:rsidRDefault="009F795F" w:rsidP="009F795F">
      <w:pPr>
        <w:pBdr>
          <w:top w:val="single" w:sz="4" w:space="1" w:color="auto"/>
        </w:pBdr>
        <w:autoSpaceDE w:val="0"/>
        <w:autoSpaceDN w:val="0"/>
        <w:jc w:val="both"/>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EB24DE">
        <w:rPr>
          <w:sz w:val="24"/>
          <w:szCs w:val="24"/>
          <w:lang w:eastAsia="en-US"/>
        </w:rPr>
        <w:t>О</w:t>
      </w:r>
      <w:r w:rsidRPr="00EB24DE">
        <w:rPr>
          <w:sz w:val="24"/>
          <w:szCs w:val="24"/>
        </w:rPr>
        <w:t xml:space="preserve">ценка расходов субъектов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связанных</w:t>
      </w:r>
      <w:r w:rsidRPr="009F795F">
        <w:rPr>
          <w:sz w:val="24"/>
          <w:szCs w:val="24"/>
        </w:rPr>
        <w:t xml:space="preserve"> с необходимостью соблюдать обязанности, запреты и ограничения, возлагаемые на них или изменяемые предлагаемым правовым регулированием:</w:t>
      </w:r>
    </w:p>
    <w:p w:rsidR="009F795F" w:rsidRPr="000F4ABB" w:rsidRDefault="000F4ABB" w:rsidP="000F4ABB">
      <w:pPr>
        <w:autoSpaceDE w:val="0"/>
        <w:autoSpaceDN w:val="0"/>
        <w:jc w:val="center"/>
        <w:rPr>
          <w:sz w:val="24"/>
          <w:szCs w:val="24"/>
        </w:rPr>
      </w:pPr>
      <w:r>
        <w:rPr>
          <w:sz w:val="24"/>
          <w:szCs w:val="24"/>
        </w:rPr>
        <w:t>Отсутствуют</w:t>
      </w:r>
      <w:bookmarkStart w:id="0" w:name="_GoBack"/>
      <w:bookmarkEnd w:id="0"/>
    </w:p>
    <w:p w:rsidR="009F795F" w:rsidRPr="009F795F" w:rsidRDefault="009F795F" w:rsidP="009F795F">
      <w:pPr>
        <w:pBdr>
          <w:top w:val="single" w:sz="4" w:space="1" w:color="auto"/>
        </w:pBdr>
        <w:autoSpaceDE w:val="0"/>
        <w:autoSpaceDN w:val="0"/>
        <w:jc w:val="center"/>
        <w:rPr>
          <w:i/>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p>
    <w:p w:rsidR="00110A4A" w:rsidRPr="00EB24DE" w:rsidRDefault="00110A4A" w:rsidP="00110A4A">
      <w:pPr>
        <w:autoSpaceDE w:val="0"/>
        <w:autoSpaceDN w:val="0"/>
        <w:jc w:val="center"/>
        <w:rPr>
          <w:sz w:val="24"/>
          <w:szCs w:val="24"/>
        </w:rPr>
      </w:pPr>
      <w:r>
        <w:rPr>
          <w:sz w:val="24"/>
          <w:szCs w:val="24"/>
        </w:rPr>
        <w:t>Отсутствуют</w:t>
      </w:r>
    </w:p>
    <w:p w:rsidR="009F795F" w:rsidRPr="009F795F" w:rsidRDefault="00110A4A" w:rsidP="00110A4A">
      <w:pPr>
        <w:pBdr>
          <w:top w:val="single" w:sz="4" w:space="1" w:color="auto"/>
        </w:pBdr>
        <w:autoSpaceDE w:val="0"/>
        <w:autoSpaceDN w:val="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ind w:left="10206"/>
        <w:rPr>
          <w:rFonts w:ascii="Calibri" w:eastAsia="Calibri" w:hAnsi="Calibri"/>
          <w:sz w:val="22"/>
          <w:szCs w:val="22"/>
          <w:lang w:eastAsia="en-US"/>
        </w:rPr>
      </w:pPr>
    </w:p>
    <w:p w:rsidR="009F795F" w:rsidRPr="009F795F" w:rsidRDefault="009F795F" w:rsidP="009F795F">
      <w:pPr>
        <w:rPr>
          <w:rFonts w:ascii="Calibri" w:eastAsia="Calibri" w:hAnsi="Calibri"/>
          <w:sz w:val="22"/>
          <w:szCs w:val="22"/>
          <w:lang w:eastAsia="en-US"/>
        </w:rPr>
      </w:pPr>
    </w:p>
    <w:sectPr w:rsidR="009F795F" w:rsidRPr="009F795F" w:rsidSect="0065587C">
      <w:headerReference w:type="default" r:id="rId8"/>
      <w:pgSz w:w="11907" w:h="16840" w:code="9"/>
      <w:pgMar w:top="426"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90" w:rsidRDefault="006D1F90">
      <w:r>
        <w:separator/>
      </w:r>
    </w:p>
  </w:endnote>
  <w:endnote w:type="continuationSeparator" w:id="0">
    <w:p w:rsidR="006D1F90" w:rsidRDefault="006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charset w:val="CC"/>
    <w:family w:val="roman"/>
    <w:pitch w:val="variable"/>
    <w:sig w:usb0="A00002EF" w:usb1="4000004B" w:usb2="00000000" w:usb3="00000000" w:csb0="0000009F" w:csb1="00000000"/>
  </w:font>
  <w:font w:name="Consolas">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90" w:rsidRDefault="006D1F90">
      <w:r>
        <w:separator/>
      </w:r>
    </w:p>
  </w:footnote>
  <w:footnote w:type="continuationSeparator" w:id="0">
    <w:p w:rsidR="006D1F90" w:rsidRDefault="006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65587C">
          <w:rPr>
            <w:noProof/>
          </w:rPr>
          <w:t>2</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2E"/>
    <w:rsid w:val="000D628B"/>
    <w:rsid w:val="000E063E"/>
    <w:rsid w:val="000E2D9A"/>
    <w:rsid w:val="000E3C86"/>
    <w:rsid w:val="000E52E0"/>
    <w:rsid w:val="000E6746"/>
    <w:rsid w:val="000E6C83"/>
    <w:rsid w:val="000E7ADA"/>
    <w:rsid w:val="000F3259"/>
    <w:rsid w:val="000F4ABB"/>
    <w:rsid w:val="001002E1"/>
    <w:rsid w:val="00101E06"/>
    <w:rsid w:val="0010246A"/>
    <w:rsid w:val="00102DDA"/>
    <w:rsid w:val="00103954"/>
    <w:rsid w:val="001043B6"/>
    <w:rsid w:val="00105220"/>
    <w:rsid w:val="0010707C"/>
    <w:rsid w:val="001073F0"/>
    <w:rsid w:val="00110A4A"/>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5587C"/>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D1F90"/>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553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DC14D"/>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E9A0-E7C5-4176-9D16-E2F810A5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3046</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Пискулина Лилия Маратовна</cp:lastModifiedBy>
  <cp:revision>5</cp:revision>
  <cp:lastPrinted>2020-07-08T09:37:00Z</cp:lastPrinted>
  <dcterms:created xsi:type="dcterms:W3CDTF">2022-06-03T11:03:00Z</dcterms:created>
  <dcterms:modified xsi:type="dcterms:W3CDTF">2023-11-13T11:00:00Z</dcterms:modified>
</cp:coreProperties>
</file>